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20" w:rsidRDefault="00F03220" w:rsidP="00F03220">
      <w:pPr>
        <w:pStyle w:val="Nagwek0"/>
        <w:rPr>
          <w:sz w:val="20"/>
        </w:rPr>
      </w:pPr>
      <w:bookmarkStart w:id="0" w:name="_GoBack"/>
      <w:r>
        <w:rPr>
          <w:rFonts w:ascii="Arial" w:hAnsi="Arial" w:cs="Arial"/>
          <w:b w:val="0"/>
          <w:bCs/>
          <w:color w:val="000080"/>
          <w:sz w:val="20"/>
        </w:rPr>
        <w:t xml:space="preserve">D-10.01.01 </w:t>
      </w:r>
      <w:r w:rsidRPr="00F03220">
        <w:rPr>
          <w:sz w:val="20"/>
        </w:rPr>
        <w:t>UMOCNIENIE SKARP KOSZAMI</w:t>
      </w:r>
      <w:bookmarkEnd w:id="0"/>
      <w:r w:rsidRPr="00F03220">
        <w:rPr>
          <w:sz w:val="20"/>
        </w:rPr>
        <w:t xml:space="preserve"> I MATAERACAMI SIATKOWO-KAMIENNYMI</w:t>
      </w:r>
    </w:p>
    <w:p w:rsidR="00F03220" w:rsidRPr="00F03220" w:rsidRDefault="00F03220" w:rsidP="00F03220">
      <w:pPr>
        <w:pStyle w:val="Nagwek0"/>
        <w:rPr>
          <w:sz w:val="20"/>
        </w:rPr>
      </w:pP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1. Wstęp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1.1. Przedmiot Specyfikacji Technicznej (ST)</w:t>
      </w:r>
    </w:p>
    <w:p w:rsidR="00F03220" w:rsidRPr="00F03220" w:rsidRDefault="00F03220" w:rsidP="00F03220">
      <w:pPr>
        <w:pStyle w:val="TableText"/>
        <w:spacing w:line="240" w:lineRule="auto"/>
        <w:jc w:val="both"/>
        <w:rPr>
          <w:sz w:val="20"/>
        </w:rPr>
      </w:pPr>
      <w:r w:rsidRPr="00F03220">
        <w:rPr>
          <w:sz w:val="20"/>
        </w:rPr>
        <w:t>Przedmiotem niniejszej Specyfikacji Technicznej są wymagania dotyczą</w:t>
      </w:r>
      <w:r>
        <w:rPr>
          <w:sz w:val="20"/>
        </w:rPr>
        <w:t xml:space="preserve">ce wykonania </w:t>
      </w:r>
      <w:r w:rsidRPr="00F03220">
        <w:rPr>
          <w:sz w:val="20"/>
        </w:rPr>
        <w:t>i odbioru umocnienia skarp koszami i materacami siatkowo kamiennymi.</w:t>
      </w:r>
    </w:p>
    <w:p w:rsidR="00F03220" w:rsidRPr="00F03220" w:rsidRDefault="00F03220" w:rsidP="00F03220">
      <w:pPr>
        <w:pStyle w:val="Podstawowy"/>
        <w:rPr>
          <w:sz w:val="20"/>
        </w:rPr>
      </w:pP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1.2. Zakres stosowania ST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Specyfikacja Techniczna jest stosowana jako dokument przetargowy i kontraktowy przy zlecaniu i realizacji robót wymienionych w punkcie 1.1.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1.3. Zakres robót objętych ST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Ustalenia zawarte w niniejszej Specyfikacji dotyczą zasad prowadzenia robót związanych z wykonaniem umocnienia skarp koszami i materacami siatkowymi i obejmują: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montaż koszy i materacy siatkowych,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wbudowanie koszy i materacy w docelowe miejsce przeznaczenia,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wypełnianie koszy i materacy kamieniami,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1.4. Określenia podstawowe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1.4.1. </w:t>
      </w:r>
      <w:r w:rsidRPr="00F03220">
        <w:rPr>
          <w:b/>
          <w:i/>
          <w:sz w:val="20"/>
        </w:rPr>
        <w:t>Kosz siatkowo-kamienny (gabion)</w:t>
      </w:r>
      <w:r w:rsidRPr="00F03220">
        <w:rPr>
          <w:sz w:val="20"/>
        </w:rPr>
        <w:t xml:space="preserve"> - kosz z siatki stalowej o sześciokątnym oczku i podwójnym splocie drutów, wypełniony kamieniami i zamknięty od góry wiekiem z takiej samej siatki – służy do budowy konstrukcji oporowych lub przeciwerozyjnych.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1.4.2.</w:t>
      </w:r>
      <w:r w:rsidRPr="00F03220">
        <w:rPr>
          <w:sz w:val="20"/>
        </w:rPr>
        <w:tab/>
      </w:r>
      <w:r w:rsidRPr="00F03220">
        <w:rPr>
          <w:b/>
          <w:i/>
          <w:sz w:val="20"/>
        </w:rPr>
        <w:t>Materac siatkowo-kamienny (gabionowy)</w:t>
      </w:r>
      <w:r w:rsidRPr="00F03220">
        <w:rPr>
          <w:sz w:val="20"/>
        </w:rPr>
        <w:t xml:space="preserve"> - kosz z siatki stalowej o sześciokątnym oczku i podwójnym splocie drutów, wypełniony kamieniami i zamknięty od góry wiekiem z takiej samej siatki (charakteryzuje się małą wysokością w stosunku do wymiarów w planie) – służy głównie do budowy umocnień przeciwerozyjnych.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1.4.3</w:t>
      </w:r>
      <w:r w:rsidRPr="00F03220">
        <w:rPr>
          <w:sz w:val="20"/>
        </w:rPr>
        <w:tab/>
        <w:t>Pozostałe określenia podstawowe są zgodne z obowiązującymi, odpowiednimi polskimi normami i z definicjami podanymi w ST D-M-00.00.00. „Wymagania ogólne”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1.5. Ogólne wymagania dotyczące robót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wymagania dotyczące robót podano w ST D-M- 00.00.00. „Wymagania ogólne” pkt.1.5.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2. Materiały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2.1. Warunki ogólne stosowania materiałów.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Warunki ogólne stosowania materiałów, ich pozyskiwania i składowania podano w ST D-M-00.00.00. „Wymagania ogólne” pkt.2.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2.2. Rodzaje materiałów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Materiałami stosowanymi przy umacnianiu skarp objętych niniejszą specyfikacją są: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 xml:space="preserve">2.2.1. </w:t>
      </w:r>
      <w:r w:rsidRPr="00F03220">
        <w:rPr>
          <w:sz w:val="20"/>
        </w:rPr>
        <w:tab/>
        <w:t xml:space="preserve">Kosze siatkowe 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Do budowy umocnień należy użyć koszy siatkowych, wykonanych z siatki stalowej o sześciokątnych oczkach                         i podwójnym splocie drutów (niedopuszczalne jest użycie siatki o pojedynczym splocie - ogrodzeniowej). Drut stalowy   cynkowo-aluminiowym” lub „grubym </w:t>
      </w:r>
      <w:proofErr w:type="spellStart"/>
      <w:r w:rsidRPr="00F03220">
        <w:rPr>
          <w:sz w:val="20"/>
        </w:rPr>
        <w:t>ocynkiem</w:t>
      </w:r>
      <w:proofErr w:type="spellEnd"/>
      <w:r w:rsidRPr="00F03220">
        <w:rPr>
          <w:sz w:val="20"/>
        </w:rPr>
        <w:t xml:space="preserve"> i dodatkową powłoką z PCW”...). Kosze powinny być łączone drutem o tym samym zabezpieczeniu antykorozyjnym jak drut z którego wykonana jest siatka, lub zszywkami ocynkowanymi (...  lub „pokrytymi stopem cynkowo-aluminiowym” lub „ze stali nierdzewnej”...). Dla zastosowanego wyrobu należy przedstawić Deklarację Zgodności z odpowiednią Aprobatą Techniczną.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Wymiary koszy: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zgodnie z rysunkami </w:t>
      </w:r>
      <w:proofErr w:type="spellStart"/>
      <w:r w:rsidRPr="00F03220">
        <w:rPr>
          <w:sz w:val="20"/>
        </w:rPr>
        <w:t>szczególowymi</w:t>
      </w:r>
      <w:proofErr w:type="spellEnd"/>
      <w:r w:rsidRPr="00F03220">
        <w:rPr>
          <w:sz w:val="20"/>
        </w:rPr>
        <w:t xml:space="preserve"> dokumentacji projektowej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Wymiary oczka siatki 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8 x 10 cm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Grubość drutu </w:t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sym w:font="Symbol" w:char="F0C6"/>
      </w:r>
      <w:r w:rsidRPr="00F03220">
        <w:rPr>
          <w:sz w:val="20"/>
        </w:rPr>
        <w:t xml:space="preserve"> 2,7 mm (... lub „</w:t>
      </w:r>
      <w:r w:rsidRPr="00F03220">
        <w:rPr>
          <w:sz w:val="20"/>
        </w:rPr>
        <w:sym w:font="Symbol" w:char="F0C6"/>
      </w:r>
      <w:r w:rsidRPr="00F03220">
        <w:rPr>
          <w:sz w:val="20"/>
        </w:rPr>
        <w:t xml:space="preserve"> 2,7/3,7 mm” dla koszy ocynkowanych + PCW ...)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Powłoki antykorozyjne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gruby </w:t>
      </w:r>
      <w:proofErr w:type="spellStart"/>
      <w:r w:rsidRPr="00F03220">
        <w:rPr>
          <w:sz w:val="20"/>
        </w:rPr>
        <w:t>ocynk</w:t>
      </w:r>
      <w:proofErr w:type="spellEnd"/>
      <w:r w:rsidRPr="00F03220">
        <w:rPr>
          <w:sz w:val="20"/>
        </w:rPr>
        <w:t xml:space="preserve"> (min. 230 g/m</w:t>
      </w:r>
      <w:r w:rsidRPr="00F03220">
        <w:rPr>
          <w:sz w:val="20"/>
          <w:vertAlign w:val="superscript"/>
        </w:rPr>
        <w:t>2</w:t>
      </w:r>
      <w:r w:rsidRPr="00F03220">
        <w:rPr>
          <w:sz w:val="20"/>
        </w:rPr>
        <w:t xml:space="preserve"> )    (...lub „eutektyczny stop cynkowo- 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  aluminiowy 95%Zn 5%Al.” lub „gruby </w:t>
      </w:r>
      <w:proofErr w:type="spellStart"/>
      <w:r w:rsidRPr="00F03220">
        <w:rPr>
          <w:sz w:val="20"/>
        </w:rPr>
        <w:t>ocynk</w:t>
      </w:r>
      <w:proofErr w:type="spellEnd"/>
      <w:r w:rsidRPr="00F03220">
        <w:rPr>
          <w:sz w:val="20"/>
        </w:rPr>
        <w:t xml:space="preserve"> (min.230 g/m</w:t>
      </w:r>
      <w:r w:rsidRPr="00F03220">
        <w:rPr>
          <w:sz w:val="20"/>
          <w:vertAlign w:val="superscript"/>
        </w:rPr>
        <w:t>2</w:t>
      </w:r>
      <w:r w:rsidRPr="00F03220">
        <w:rPr>
          <w:sz w:val="20"/>
        </w:rPr>
        <w:t xml:space="preserve"> ) + PCW” ... )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lastRenderedPageBreak/>
        <w:t xml:space="preserve">2.2.2. Materace siatkowe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Do budowy umocnień należy użyć materacy siatkowych, wykonanych z siatki stalowej o oczkach sześciokątnych                      i podwójnym splocie drutów (niedopuszczalne jest użycie siatki o pojedynczym splocie -  ogrodzeniowej). Drut stalowy                z którego wykonano siatkę powinien być zabezpieczony przed korozją grubym </w:t>
      </w:r>
      <w:proofErr w:type="spellStart"/>
      <w:r w:rsidRPr="00F03220">
        <w:rPr>
          <w:sz w:val="20"/>
        </w:rPr>
        <w:t>ocynkiem</w:t>
      </w:r>
      <w:proofErr w:type="spellEnd"/>
      <w:r w:rsidRPr="00F03220">
        <w:rPr>
          <w:sz w:val="20"/>
        </w:rPr>
        <w:t xml:space="preserve"> (...lub „eutektycznym stopem cynkowo-aluminiowym” lub „grubym </w:t>
      </w:r>
      <w:proofErr w:type="spellStart"/>
      <w:r w:rsidRPr="00F03220">
        <w:rPr>
          <w:sz w:val="20"/>
        </w:rPr>
        <w:t>ocynkiem</w:t>
      </w:r>
      <w:proofErr w:type="spellEnd"/>
      <w:r w:rsidRPr="00F03220">
        <w:rPr>
          <w:sz w:val="20"/>
        </w:rPr>
        <w:t xml:space="preserve"> i dodatkową powłoką z PCW”...). Materace powinny być łączone drutem o tym samym zabezpieczeniu antykorozyjnym jak drut z którego wykonana jest siatka, lub zszywkami ocynkowanymi (...lub „pokrytymi stopem cynkowo-aluminiowym” lub „ze stali nierdzewnej”...). Dla zastosowanego wyrobu należy przedstawić Deklarację Zgodności z odpowiednią Aprobatą Techniczną.</w:t>
      </w:r>
    </w:p>
    <w:p w:rsidR="00F03220" w:rsidRPr="00F03220" w:rsidRDefault="00F03220" w:rsidP="00F03220">
      <w:pPr>
        <w:spacing w:line="360" w:lineRule="auto"/>
        <w:rPr>
          <w:sz w:val="20"/>
        </w:rPr>
      </w:pPr>
      <w:r w:rsidRPr="00F03220">
        <w:rPr>
          <w:sz w:val="20"/>
        </w:rPr>
        <w:t>Wymiary materacy: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zgodnie z rysunkami </w:t>
      </w:r>
      <w:proofErr w:type="spellStart"/>
      <w:r w:rsidRPr="00F03220">
        <w:rPr>
          <w:sz w:val="20"/>
        </w:rPr>
        <w:t>szczególowymi</w:t>
      </w:r>
      <w:proofErr w:type="spellEnd"/>
      <w:r w:rsidRPr="00F03220">
        <w:rPr>
          <w:sz w:val="20"/>
        </w:rPr>
        <w:t xml:space="preserve"> dokumentacji projektowej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Wymiary oczka siatki 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5 x 7 cm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Grubość drutu </w:t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sym w:font="Symbol" w:char="F0C6"/>
      </w:r>
      <w:r w:rsidRPr="00F03220">
        <w:rPr>
          <w:sz w:val="20"/>
        </w:rPr>
        <w:t xml:space="preserve"> 2,2 mm (... lub „</w:t>
      </w:r>
      <w:r w:rsidRPr="00F03220">
        <w:rPr>
          <w:sz w:val="20"/>
        </w:rPr>
        <w:sym w:font="Symbol" w:char="F0C6"/>
      </w:r>
      <w:r w:rsidRPr="00F03220">
        <w:rPr>
          <w:sz w:val="20"/>
        </w:rPr>
        <w:t xml:space="preserve"> 2,2/3,2 mm” dla materacy ocynkowanych + PCW ...)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Powłoki antykorozyjne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gruby </w:t>
      </w:r>
      <w:proofErr w:type="spellStart"/>
      <w:r w:rsidRPr="00F03220">
        <w:rPr>
          <w:sz w:val="20"/>
        </w:rPr>
        <w:t>ocynk</w:t>
      </w:r>
      <w:proofErr w:type="spellEnd"/>
      <w:r w:rsidRPr="00F03220">
        <w:rPr>
          <w:sz w:val="20"/>
        </w:rPr>
        <w:t xml:space="preserve"> (min. 230 g/m</w:t>
      </w:r>
      <w:r w:rsidRPr="00F03220">
        <w:rPr>
          <w:sz w:val="20"/>
          <w:vertAlign w:val="superscript"/>
        </w:rPr>
        <w:t>2</w:t>
      </w:r>
      <w:r w:rsidRPr="00F03220">
        <w:rPr>
          <w:sz w:val="20"/>
        </w:rPr>
        <w:t xml:space="preserve"> )    (...lub „eutektyczny stop cynkowo- 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  aluminiowy 95%Zn 5%Al.” lub „gruby </w:t>
      </w:r>
      <w:proofErr w:type="spellStart"/>
      <w:r w:rsidRPr="00F03220">
        <w:rPr>
          <w:sz w:val="20"/>
        </w:rPr>
        <w:t>ocynk</w:t>
      </w:r>
      <w:proofErr w:type="spellEnd"/>
      <w:r w:rsidRPr="00F03220">
        <w:rPr>
          <w:sz w:val="20"/>
        </w:rPr>
        <w:t xml:space="preserve"> (min.230 g/m</w:t>
      </w:r>
      <w:r w:rsidRPr="00F03220">
        <w:rPr>
          <w:sz w:val="20"/>
          <w:vertAlign w:val="superscript"/>
        </w:rPr>
        <w:t>2</w:t>
      </w:r>
      <w:r w:rsidRPr="00F03220">
        <w:rPr>
          <w:sz w:val="20"/>
        </w:rPr>
        <w:t xml:space="preserve"> ) + PCW” ... )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2.2.3. Kamień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Do wypełnienia koszy i materacy należy użyć niezwietrzałych i odpornych na działanie wody i mrozu kamieni. Mogą to być zarówno otoczaki, jak i kamień łamany. Minimalny wymiar pojedynczych kamieni nie może być mniejszy od wymiaru oczka siatki - czyli 50 mm dla materacy i 80 mm dla koszy . Największe używane kamienie nie powinny przekraczać 2,5 – krotnego wymiaru oczka siatki.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2.2.4. Geowłóknina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Na styku koszy lub materacy z gruntem należy ułożyć geowłókninę techniczną z polipropylenu o następujących parametrach: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wodoprzepuszczalność (przy obciążeniu 2 kPa)</w:t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min. </w:t>
      </w:r>
      <w:r w:rsidRPr="00F03220">
        <w:rPr>
          <w:sz w:val="20"/>
        </w:rPr>
        <w:tab/>
        <w:t xml:space="preserve">2,0 x 10 </w:t>
      </w:r>
      <w:r w:rsidRPr="00F03220">
        <w:rPr>
          <w:sz w:val="20"/>
          <w:vertAlign w:val="superscript"/>
        </w:rPr>
        <w:t>-3</w:t>
      </w:r>
      <w:r w:rsidRPr="00F03220">
        <w:rPr>
          <w:sz w:val="20"/>
        </w:rPr>
        <w:t xml:space="preserve"> m/s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gramatura</w:t>
      </w:r>
      <w:r w:rsidRPr="00F03220">
        <w:rPr>
          <w:sz w:val="20"/>
        </w:rPr>
        <w:tab/>
        <w:t>(w przypadku geowłókniny igłowanej)</w:t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min.  </w:t>
      </w:r>
      <w:r w:rsidRPr="00F03220">
        <w:rPr>
          <w:sz w:val="20"/>
        </w:rPr>
        <w:tab/>
        <w:t>200 g/m</w:t>
      </w:r>
      <w:r w:rsidRPr="00F03220">
        <w:rPr>
          <w:sz w:val="20"/>
          <w:vertAlign w:val="superscript"/>
        </w:rPr>
        <w:t>2</w:t>
      </w:r>
      <w:r w:rsidRPr="00F03220">
        <w:rPr>
          <w:sz w:val="20"/>
        </w:rPr>
        <w:t xml:space="preserve"> 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wytrzymałość na rozciąganie</w:t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  <w:t>min.</w:t>
      </w:r>
      <w:r w:rsidRPr="00F03220">
        <w:rPr>
          <w:sz w:val="20"/>
        </w:rPr>
        <w:tab/>
        <w:t>14,5 kN/m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wytrzymałość na przebicie</w:t>
      </w:r>
      <w:r w:rsidRPr="00F03220">
        <w:rPr>
          <w:sz w:val="20"/>
        </w:rPr>
        <w:tab/>
        <w:t>(CBR)</w:t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</w:r>
      <w:r w:rsidRPr="00F03220">
        <w:rPr>
          <w:sz w:val="20"/>
        </w:rPr>
        <w:tab/>
        <w:t xml:space="preserve">min. </w:t>
      </w:r>
      <w:r w:rsidRPr="00F03220">
        <w:rPr>
          <w:sz w:val="20"/>
        </w:rPr>
        <w:tab/>
        <w:t>2,0 kN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materiał powinien być odporny na działanie wszystkich naturalnie występujących w gruncie i wodzie  związków alkalicznych, kwasów, oraz oleju i benzyny.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3. Sprzęt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3.1. Ogólne warunki stosowania sprzętu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warunki stosowania sprzętu podano w ST D-M- 00.00.00 „Wymagania ogólne” pkt. 3.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3.2. Sprzęt do wykonania robót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Montaż i łączenie koszy i materacy siatkowo-kamiennych można wykonywać ręcznie przy użyciu szczypiec, obcęgów               i  dźwigni (łomu) do zamykania wieka, lub w sposób zmechanizowany przy użyciu specjalnej zszywarki o napędzie pneumatycznym, zaciskającej prefabrykowane zszywki. Do napełniania koszy kamieniami można stosować ładowarki (dowożące jednocześnie kamień z placu składowego do miejsca wbudowania), lub koparki chwytakowe. Lico gabionów należy układać ręcznie.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4. Transport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4.1. Ogólne wymagania dotyczące transportu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warunki transportu podano w ST D-M-00.00.00. „Wymagania ogólne” pkt.4.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4.2. Transport materiałów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Kosze i materace należy transportować jako fabrycznie składane, łączone w pakiety po kilkadziesiąt sztuk o łącznej masie kilkuset kg. Wieka materacy transportuje się oddzielnie. Drut do łączenia koszy transportowany jest w kręgach po kilkadziesiąt kg, a zszywki w opakowaniach kartonowych po 1 600 lub 3 200 szt. Powyższe elementy mogą być przewożone dowolnymi środkami transportu pod warunkiem zabezpieczenia przed uszkodzeniami. W szczególności dotyczy to  powłok chroniących drut przed korozją.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Kamień transportowany jest luzem.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lastRenderedPageBreak/>
        <w:t>5. Wykonanie robót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5.1. Ogólne warunki wykonania robót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zasady wykonania robót podano w ST D-M-00.00.00. „Wymagania ogólne” pkt.5.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 xml:space="preserve">5..2. Montaż  i wbudowanie koszy i materacy. 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Montaż koszy i materacy należy przeprowadzić wg. następującego schematu: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rozłożyć i rozciągnąć każdy kosz lub materac na twardej, płaskiej powierzchni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zagiąć i podnieść do pionu boki kosza lub materaca i przegrody wewnętrzne, tak aby uzyskać regularny prostopadłościan o wymaganej wysokości,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połączyć wszystkie stykające się boki i przegrody, zszywając je drutem  (zaciągając naprzemiennie podwójne                     i pojedyncze pętle w rozstawie ok.10 cm), lub zszywkami w miejscach i w ilości podanej przez producenta,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kosz ułożyć w miejscu wbudowania na odpowiednio przygotowanym podłożu i połączyć z koszami sąsiednimi, zszywając wszystkie stykające się krawędzie,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puste kosze połączone w grupę składającą się z  kilku sztuk, należy naciągnąć  i dopiero wtedy przymocować do podłoża lub niższej warstwy,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kosze napełnić dokładnie kamieniami, tak aby nie pozostały pustki, a w przypadku materaca aby na jego grubości ułożone były min. 2 kamienie. Kosze napełnić z lekkim naddatkiem, stosując w trakcie napełniania haczyki spinające przeciwległe ścianki,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zamknąć  wieko kosza lub materaca i przyszyć je do górnych krawędzi wszystkich ścianek pionowych z którymi wieko się styka (boki i przegrody wewnętrzne); mocowanie wieka należy wykonać drutem lub zszywkami w sposób podany wcześniej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montaż pozostałych warstw koszy wg analogicznego schematu zachowując odpowiednie przewiązania pomiędzy warstwami.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/... układanie pod wodą .../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W przypadku konieczności „topienia” materacy (układania ich pod wodą) należy: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pojedynczy materac zmontować, wypełnić kamieniami i przyszyć wieko, na płaskim terenie w pobliżu miejsca wbudowania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 trakcie montażu materaca usztywnić jego przegrody wewnętrzne i równoległe do nich boki prętami ze stali zbrojeniowej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za pomocą linek stalowych lub łańcuchów podwiesić materac za pręty usztywniające do ramy stalowej o wymiarach takich samych jak materac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ramę stalowa wraz z podczepionym materacem unieść dźwigiem nad miejsce wbudowania i powoli opuszczając ułożyć materac ściśle, obok materacy wbudowanych wcześniej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ułożone materace połączyć między sobą, zszywając stykające się krawędzie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podczas układania materacy i łączenia ich między sobą pod wodą na głębokości przekraczającej 1,0m, należy użyć nurka. Prace te należy prowadzić z zachowaniem odpowiednich przepisów BHP.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br/>
        <w:t>Szczegóły montażu należy wykonać zgodnie z instrukcją producenta, oraz wskazaniami Inżyniera Kontraktu.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6. Kontrola jakości robót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6.1. Ogólne zasady kontroli jakości robót.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zasady kontroli jakości robót podano w ST D-M-00.00.00 „Wymagania ogólne” pkt.6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6.2. Kontrola jakości robót.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Kontrola polega na sprawdzeniu: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rzędnych oraz wskaźnika zagęszczenia gruntu pod koszami lub materacami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materiałów (kosze i materace, kamień, geowłóknina)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montażu i wbudowania koszy i materacy, a w szczególności : poprawności łączenia wszystkich krawędzi, geometrii konstrukcji (pochylenia, rzędna), dokładności wypełnienia kamieniem (zgodnie z wymogami Aprobaty Technicznej IBDiM nr AT/99-04-0692)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7. Obmiar robót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7.1. Ogólne zasady obmiaru robót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zasady obmiaru robót podano w ST D-M-00.00.00. „Wymagania ogólne” pkt. 7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lastRenderedPageBreak/>
        <w:t>7.2. Jednostka obmiarowa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Jednostką obmiarową jest:</w:t>
      </w:r>
    </w:p>
    <w:p w:rsidR="00F03220" w:rsidRPr="00F03220" w:rsidRDefault="00F03220" w:rsidP="00F03220">
      <w:pPr>
        <w:pStyle w:val="Lista---"/>
        <w:rPr>
          <w:sz w:val="20"/>
        </w:rPr>
      </w:pPr>
      <w:r w:rsidRPr="00F03220">
        <w:rPr>
          <w:sz w:val="20"/>
        </w:rPr>
        <w:t>- m</w:t>
      </w:r>
      <w:r w:rsidRPr="00F03220">
        <w:rPr>
          <w:sz w:val="20"/>
          <w:vertAlign w:val="superscript"/>
        </w:rPr>
        <w:t>3</w:t>
      </w:r>
      <w:r w:rsidRPr="00F03220">
        <w:rPr>
          <w:sz w:val="20"/>
        </w:rPr>
        <w:t xml:space="preserve"> (metr sześcienny) konstrukcji</w:t>
      </w:r>
      <w:r>
        <w:rPr>
          <w:sz w:val="20"/>
        </w:rPr>
        <w:t xml:space="preserve"> zbudowanej z koszy gabionowych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8. Odbiór robót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zasady odbioru robót podano w ST D-M-00.00.00 „Wymagania ogólne” pkt. 8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Roboty uznaje się za wykonane zgodnie z ST, i wymaganiami Inżyniera Kontraktu, jeżeli wszystkie pomiary i kontrole prowadzone wg. pkt. 6 dały wyniki pozytywne.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9. Podstawa płatności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9.1. Ogólne ustalenia dotyczące podstawy płatności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Ogólne ustalenia dotyczące podstawy płatności podano w ST D-M-00.00.00. „Wymagania ogólne” pkt. 9.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9.2. Cena jednostki obmiarowej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Cena 1 m</w:t>
      </w:r>
      <w:r w:rsidRPr="00F03220">
        <w:rPr>
          <w:sz w:val="20"/>
          <w:vertAlign w:val="superscript"/>
        </w:rPr>
        <w:t>3</w:t>
      </w:r>
      <w:r w:rsidRPr="00F03220">
        <w:rPr>
          <w:sz w:val="20"/>
        </w:rPr>
        <w:t xml:space="preserve"> (metra sześciennego) umocnienia skarp koszami siatkowo-kamiennymi obejmuje: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wykonanie niwelacji podłoża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ułożenia geowłokniny (jeżeli przewiduje to PT)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montaż i wbudowanie koszy siatkowych w miejsce ich przeznaczenia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dostarczenie wszystkich materiałów podstawowych i pomocniczych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zastosowanie niezbędnego sprzętu (dźwigów, środków transportowych) i konstrukcji pomocniczych</w:t>
      </w:r>
    </w:p>
    <w:p w:rsidR="00F03220" w:rsidRPr="00F03220" w:rsidRDefault="00F03220" w:rsidP="00F03220">
      <w:pPr>
        <w:numPr>
          <w:ilvl w:val="0"/>
          <w:numId w:val="3"/>
        </w:numPr>
        <w:spacing w:line="360" w:lineRule="auto"/>
        <w:rPr>
          <w:sz w:val="20"/>
        </w:rPr>
      </w:pPr>
      <w:r w:rsidRPr="00F03220">
        <w:rPr>
          <w:sz w:val="20"/>
        </w:rPr>
        <w:t>oczyszczenie sprzętu i miejsca robót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odwiezienie materiałów odpadowych na miejsce zaakceptowane przez Inżyniera Kontraktu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montaż, demontaż i przemieszczanie w obrębie budowy urządzeń towarzyszących</w:t>
      </w:r>
    </w:p>
    <w:p w:rsidR="00F03220" w:rsidRPr="00F03220" w:rsidRDefault="00F03220" w:rsidP="00F03220">
      <w:pPr>
        <w:pStyle w:val="Lista"/>
        <w:rPr>
          <w:sz w:val="20"/>
        </w:rPr>
      </w:pPr>
      <w:r w:rsidRPr="00F03220">
        <w:rPr>
          <w:sz w:val="20"/>
        </w:rPr>
        <w:t>wykonanie badań i pomiarów zgodnych z ST</w:t>
      </w:r>
    </w:p>
    <w:p w:rsidR="00F03220" w:rsidRPr="00F03220" w:rsidRDefault="00F03220" w:rsidP="00F03220">
      <w:pPr>
        <w:pStyle w:val="Nagwek1"/>
        <w:rPr>
          <w:sz w:val="20"/>
        </w:rPr>
      </w:pPr>
      <w:r w:rsidRPr="00F03220">
        <w:rPr>
          <w:sz w:val="20"/>
        </w:rPr>
        <w:t>10 Przepisy związane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10.1. Normy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PN-S-02205:1998</w:t>
      </w:r>
      <w:r w:rsidRPr="00F03220">
        <w:rPr>
          <w:sz w:val="20"/>
        </w:rPr>
        <w:tab/>
        <w:t>Drogi samochodowe. Roboty ziemne. Wymagania i badania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PN-H-04623:1986 </w:t>
      </w:r>
      <w:r w:rsidRPr="00F03220">
        <w:rPr>
          <w:sz w:val="20"/>
        </w:rPr>
        <w:tab/>
        <w:t>Ochrona przed korozją. Pomiar grubości powłok metodami nieniszczącymi.</w:t>
      </w:r>
    </w:p>
    <w:p w:rsidR="00F03220" w:rsidRPr="00F03220" w:rsidRDefault="00F03220" w:rsidP="00F03220">
      <w:pPr>
        <w:pStyle w:val="Podstawowy"/>
        <w:rPr>
          <w:sz w:val="20"/>
          <w:lang w:val="en-US"/>
        </w:rPr>
      </w:pPr>
      <w:r w:rsidRPr="00F03220">
        <w:rPr>
          <w:sz w:val="20"/>
          <w:lang w:val="en-US"/>
        </w:rPr>
        <w:t xml:space="preserve">EN 10223-3. </w:t>
      </w:r>
      <w:r w:rsidRPr="00F03220">
        <w:rPr>
          <w:sz w:val="20"/>
          <w:lang w:val="en-US"/>
        </w:rPr>
        <w:tab/>
      </w:r>
      <w:r w:rsidRPr="00F03220">
        <w:rPr>
          <w:sz w:val="20"/>
          <w:lang w:val="en-US"/>
        </w:rPr>
        <w:tab/>
        <w:t>Hexagonal steel wire netting for engineering purposes.</w:t>
      </w:r>
    </w:p>
    <w:p w:rsidR="00F03220" w:rsidRPr="00F03220" w:rsidRDefault="00F03220" w:rsidP="00F03220">
      <w:pPr>
        <w:pStyle w:val="Podstawowy"/>
        <w:rPr>
          <w:sz w:val="20"/>
          <w:lang w:val="en-US"/>
        </w:rPr>
      </w:pPr>
      <w:r w:rsidRPr="00F03220">
        <w:rPr>
          <w:sz w:val="20"/>
          <w:lang w:val="en-US"/>
        </w:rPr>
        <w:t xml:space="preserve">EN 10244-2. </w:t>
      </w:r>
      <w:r w:rsidRPr="00F03220">
        <w:rPr>
          <w:sz w:val="20"/>
          <w:lang w:val="en-US"/>
        </w:rPr>
        <w:tab/>
      </w:r>
      <w:r w:rsidRPr="00F03220">
        <w:rPr>
          <w:sz w:val="20"/>
          <w:lang w:val="en-US"/>
        </w:rPr>
        <w:tab/>
        <w:t>Zinc or zinc alloy coatings on steel wire.</w:t>
      </w:r>
    </w:p>
    <w:p w:rsidR="00F03220" w:rsidRPr="00F03220" w:rsidRDefault="00F03220" w:rsidP="00F03220">
      <w:pPr>
        <w:pStyle w:val="Nagwek2"/>
        <w:rPr>
          <w:sz w:val="20"/>
        </w:rPr>
      </w:pPr>
      <w:r w:rsidRPr="00F03220">
        <w:rPr>
          <w:sz w:val="20"/>
        </w:rPr>
        <w:t>10.2. Inne dokumenty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 xml:space="preserve">.Aprobata Techniczna </w:t>
      </w:r>
      <w:proofErr w:type="spellStart"/>
      <w:r w:rsidRPr="00F03220">
        <w:rPr>
          <w:sz w:val="20"/>
        </w:rPr>
        <w:t>IBDiM</w:t>
      </w:r>
      <w:proofErr w:type="spellEnd"/>
      <w:r w:rsidRPr="00F03220">
        <w:rPr>
          <w:sz w:val="20"/>
        </w:rPr>
        <w:t xml:space="preserve">  nr AT/99-04-0692 „EKO-kosze, EKO-materace, EKO-walce, oraz EKO-kosze systemu COMBI”.</w:t>
      </w:r>
    </w:p>
    <w:p w:rsidR="00F03220" w:rsidRPr="00F03220" w:rsidRDefault="00F03220" w:rsidP="00F03220">
      <w:pPr>
        <w:pStyle w:val="Podstawowy"/>
        <w:rPr>
          <w:sz w:val="20"/>
        </w:rPr>
      </w:pPr>
      <w:r w:rsidRPr="00F03220">
        <w:rPr>
          <w:sz w:val="20"/>
        </w:rPr>
        <w:t>„Instrukcja montażu i wbudowywania koszy siatkowo-kamiennych (gabionów)” -  opracowana przez „GEOTIM” Sp. z o.o. - ul. Płochocińska 19, 03-191 Warszawa, tel.22 / 51 06 108.</w:t>
      </w:r>
    </w:p>
    <w:p w:rsidR="00E62066" w:rsidRPr="00F03220" w:rsidRDefault="00F03220">
      <w:pPr>
        <w:rPr>
          <w:sz w:val="20"/>
        </w:rPr>
      </w:pPr>
    </w:p>
    <w:sectPr w:rsidR="00E62066" w:rsidRPr="00F03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A65322"/>
    <w:lvl w:ilvl="0">
      <w:numFmt w:val="decimal"/>
      <w:pStyle w:val="Lista---"/>
      <w:lvlText w:val="*"/>
      <w:lvlJc w:val="left"/>
    </w:lvl>
  </w:abstractNum>
  <w:abstractNum w:abstractNumId="1">
    <w:nsid w:val="13875353"/>
    <w:multiLevelType w:val="hybridMultilevel"/>
    <w:tmpl w:val="683AD3F8"/>
    <w:lvl w:ilvl="0" w:tplc="2CC04E74">
      <w:start w:val="1"/>
      <w:numFmt w:val="bullet"/>
      <w:pStyle w:val="Lista"/>
      <w:lvlText w:val="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pStyle w:val="Lista---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3">
    <w:abstractNumId w:val="0"/>
    <w:lvlOverride w:ilvl="0">
      <w:lvl w:ilvl="0">
        <w:start w:val="1"/>
        <w:numFmt w:val="bullet"/>
        <w:pStyle w:val="Lista---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220"/>
    <w:rsid w:val="005248C4"/>
    <w:rsid w:val="006053CF"/>
    <w:rsid w:val="00F0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autoRedefine/>
    <w:qFormat/>
    <w:rsid w:val="00F0322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autoRedefine/>
    <w:qFormat/>
    <w:rsid w:val="00F03220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aliases w:val="Title 2"/>
    <w:basedOn w:val="Normalny"/>
    <w:next w:val="Normalny"/>
    <w:link w:val="Nagwek2Znak"/>
    <w:autoRedefine/>
    <w:qFormat/>
    <w:rsid w:val="00F03220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3220"/>
    <w:rPr>
      <w:rFonts w:ascii="Times New Roman" w:eastAsia="Times New Roman" w:hAnsi="Times New Roman" w:cs="Times New Roman"/>
      <w:b/>
      <w:caps/>
      <w:kern w:val="28"/>
      <w:sz w:val="1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03220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customStyle="1" w:styleId="Nagwek0">
    <w:name w:val="Nagłówek 0"/>
    <w:basedOn w:val="Normalny"/>
    <w:autoRedefine/>
    <w:rsid w:val="00F03220"/>
    <w:pPr>
      <w:ind w:left="964" w:hanging="964"/>
      <w:jc w:val="left"/>
      <w:outlineLvl w:val="0"/>
    </w:pPr>
    <w:rPr>
      <w:b/>
      <w:sz w:val="24"/>
    </w:rPr>
  </w:style>
  <w:style w:type="paragraph" w:customStyle="1" w:styleId="Lista">
    <w:name w:val="Lista * * *"/>
    <w:basedOn w:val="Normalny"/>
    <w:autoRedefine/>
    <w:rsid w:val="00F03220"/>
    <w:pPr>
      <w:widowControl w:val="0"/>
      <w:numPr>
        <w:numId w:val="1"/>
      </w:numPr>
      <w:suppressAutoHyphens/>
      <w:spacing w:before="20" w:after="20"/>
      <w:ind w:right="170"/>
    </w:pPr>
    <w:rPr>
      <w:noProof/>
    </w:rPr>
  </w:style>
  <w:style w:type="paragraph" w:customStyle="1" w:styleId="Lista---">
    <w:name w:val="Lista - - -"/>
    <w:basedOn w:val="Lista"/>
    <w:autoRedefine/>
    <w:rsid w:val="00F03220"/>
    <w:pPr>
      <w:numPr>
        <w:numId w:val="2"/>
      </w:numPr>
      <w:ind w:right="284"/>
    </w:pPr>
    <w:rPr>
      <w:noProof w:val="0"/>
    </w:rPr>
  </w:style>
  <w:style w:type="paragraph" w:customStyle="1" w:styleId="Podstawowy">
    <w:name w:val="Podstawowy"/>
    <w:basedOn w:val="Normalny"/>
    <w:autoRedefine/>
    <w:rsid w:val="00F03220"/>
    <w:pPr>
      <w:ind w:firstLine="284"/>
    </w:pPr>
  </w:style>
  <w:style w:type="paragraph" w:customStyle="1" w:styleId="TableText">
    <w:name w:val="Table Text"/>
    <w:basedOn w:val="Normalny"/>
    <w:rsid w:val="00F03220"/>
    <w:pPr>
      <w:widowControl w:val="0"/>
      <w:spacing w:line="360" w:lineRule="auto"/>
      <w:jc w:val="left"/>
      <w:textAlignment w:val="auto"/>
    </w:pPr>
    <w:rPr>
      <w:noProof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F032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autoRedefine/>
    <w:qFormat/>
    <w:rsid w:val="00F0322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autoRedefine/>
    <w:qFormat/>
    <w:rsid w:val="00F03220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aliases w:val="Title 2"/>
    <w:basedOn w:val="Normalny"/>
    <w:next w:val="Normalny"/>
    <w:link w:val="Nagwek2Znak"/>
    <w:autoRedefine/>
    <w:qFormat/>
    <w:rsid w:val="00F03220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3220"/>
    <w:rPr>
      <w:rFonts w:ascii="Times New Roman" w:eastAsia="Times New Roman" w:hAnsi="Times New Roman" w:cs="Times New Roman"/>
      <w:b/>
      <w:caps/>
      <w:kern w:val="28"/>
      <w:sz w:val="1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03220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customStyle="1" w:styleId="Nagwek0">
    <w:name w:val="Nagłówek 0"/>
    <w:basedOn w:val="Normalny"/>
    <w:autoRedefine/>
    <w:rsid w:val="00F03220"/>
    <w:pPr>
      <w:ind w:left="964" w:hanging="964"/>
      <w:jc w:val="left"/>
      <w:outlineLvl w:val="0"/>
    </w:pPr>
    <w:rPr>
      <w:b/>
      <w:sz w:val="24"/>
    </w:rPr>
  </w:style>
  <w:style w:type="paragraph" w:customStyle="1" w:styleId="Lista">
    <w:name w:val="Lista * * *"/>
    <w:basedOn w:val="Normalny"/>
    <w:autoRedefine/>
    <w:rsid w:val="00F03220"/>
    <w:pPr>
      <w:widowControl w:val="0"/>
      <w:numPr>
        <w:numId w:val="1"/>
      </w:numPr>
      <w:suppressAutoHyphens/>
      <w:spacing w:before="20" w:after="20"/>
      <w:ind w:right="170"/>
    </w:pPr>
    <w:rPr>
      <w:noProof/>
    </w:rPr>
  </w:style>
  <w:style w:type="paragraph" w:customStyle="1" w:styleId="Lista---">
    <w:name w:val="Lista - - -"/>
    <w:basedOn w:val="Lista"/>
    <w:autoRedefine/>
    <w:rsid w:val="00F03220"/>
    <w:pPr>
      <w:numPr>
        <w:numId w:val="2"/>
      </w:numPr>
      <w:ind w:right="284"/>
    </w:pPr>
    <w:rPr>
      <w:noProof w:val="0"/>
    </w:rPr>
  </w:style>
  <w:style w:type="paragraph" w:customStyle="1" w:styleId="Podstawowy">
    <w:name w:val="Podstawowy"/>
    <w:basedOn w:val="Normalny"/>
    <w:autoRedefine/>
    <w:rsid w:val="00F03220"/>
    <w:pPr>
      <w:ind w:firstLine="284"/>
    </w:pPr>
  </w:style>
  <w:style w:type="paragraph" w:customStyle="1" w:styleId="TableText">
    <w:name w:val="Table Text"/>
    <w:basedOn w:val="Normalny"/>
    <w:rsid w:val="00F03220"/>
    <w:pPr>
      <w:widowControl w:val="0"/>
      <w:spacing w:line="360" w:lineRule="auto"/>
      <w:jc w:val="left"/>
      <w:textAlignment w:val="auto"/>
    </w:pPr>
    <w:rPr>
      <w:noProof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F032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1641</Words>
  <Characters>9849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1</cp:revision>
  <dcterms:created xsi:type="dcterms:W3CDTF">2019-02-05T10:56:00Z</dcterms:created>
  <dcterms:modified xsi:type="dcterms:W3CDTF">2019-02-05T11:00:00Z</dcterms:modified>
</cp:coreProperties>
</file>